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W w:type="auto" w:w="11100.472440944883"/>
        <w:tblLayout w:type="fixed"/>
      </w:tblPr>
      <w:tblGrid>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tblGrid>
      <w:tr>
        <w:tc>
          <w:tcPr>
            <w:vAlign w:val="center"/>
            <w:gridSpan w:val="68"/>
          </w:tcPr>
          <w:p>
            <w:pPr>
              <w:jc w:val="center"/>
              <w:pStyle w:val="Heading1"/>
            </w:pPr>
            <w:r>
              <w:t xml:space="preserve">Vik (Sathvik) Aithala, Business &amp; Data Analyst</w:t>
            </w:r>
          </w:p>
          <w:p>
            <w:pPr>
              <w:jc w:val="center"/>
              <w:pStyle w:val="Heading2"/>
            </w:pPr>
            <w:r>
              <w:t xml:space="preserve">Toledo, OH, (832) 244-6541, sathvik.aithala@gmail.com</w:t>
            </w:r>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gridSpan w:val="17"/>
          </w:tcPr>
          <w:p>
            <w:pPr>
              <w:pStyle w:val="Heading3"/>
            </w:pPr>
            <w:r>
              <w:t xml:space="preserve">LINKS</w:t>
            </w:r>
          </w:p>
        </w:tc>
        <w:tc>
          <w:tcPr>
            <w:gridSpan w:val="51"/>
          </w:tcPr>
          <w:p>
            <w:hyperlink w:history="1" r:id="rId28279">
              <w:r>
                <w:rPr>
                  <w:rStyle w:val="SocialProfileLink"/>
                </w:rPr>
                <w:t xml:space="preserve">Portfolio (sathvikaithala.com)</w:t>
              </w:r>
            </w:hyperlink>
            <w:r>
              <w:t xml:space="preserve">, </w:t>
            </w:r>
            <w:hyperlink w:history="1" r:id="rId24224">
              <w:r>
                <w:rPr>
                  <w:rStyle w:val="SocialProfileLink"/>
                </w:rPr>
                <w:t xml:space="preserve">LinkedIn (linkedin.com/in/sathvikaithala)</w:t>
              </w:r>
            </w:hyperlink>
            <w:r>
              <w:t xml:space="preserve">, </w:t>
            </w:r>
            <w:hyperlink w:history="1" r:id="rId35527">
              <w:r>
                <w:rPr>
                  <w:rStyle w:val="SocialProfileLink"/>
                </w:rPr>
                <w:t xml:space="preserve">GitHub (github.com/sathvikaithala)</w:t>
              </w:r>
            </w:hyperlink>
            <w:r>
              <w:t xml:space="preserve">, </w:t>
            </w:r>
            <w:hyperlink w:history="1" r:id="rId28981">
              <w:r>
                <w:rPr>
                  <w:rStyle w:val="SocialProfileLink"/>
                </w:rPr>
                <w:t xml:space="preserve">Publications (pubmed.ncbi.nlm.nih.gov/?term=sathvik+aithala)</w:t>
              </w:r>
            </w:hyperlink>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gridSpan w:val="17"/>
          </w:tcPr>
          <w:p>
            <w:pPr>
              <w:pStyle w:val="Heading3"/>
            </w:pPr>
            <w:r>
              <w:t xml:space="preserve">PROFILE</w:t>
            </w:r>
          </w:p>
        </w:tc>
        <w:tc>
          <w:tcPr>
            <w:gridSpan w:val="51"/>
          </w:tcPr>
          <w:p>
            <w:r>
              <w:t xml:space="preserve">I'm a business and data analyst who thrives on making data relatable and actionable. With experience across finance, product, consulting, and healthcare, I enjoy tackling complex problems from multiple angles, uncovering insights that help shape decisions and strategies. My goal is to bring clarity through data, crafting visual stories that connect people with the insights they need.</w:t>
            </w:r>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Heading3"/>
            </w:pPr>
            <w:r>
              <w:t xml:space="preserve">EMPLOYMENT HISTORY</w:t>
            </w:r>
          </w:p>
        </w:tc>
      </w:tr>
      <w:tr>
        <w:tc>
          <w:tcPr>
            <w:vMerge w:val="restart"/>
            <w:tcMar>
              <w:top w:w="56.69291338582677" w:type="dxa"/>
              <w:bottom w:w="0" w:type="dxa"/>
              <w:end w:w="0" w:type="dxa"/>
              <w:start w:w="0" w:type="dxa"/>
            </w:tcMar>
            <w:gridSpan w:val="17"/>
          </w:tcPr>
          <w:p>
            <w:r>
              <w:t xml:space="preserve">May 2023 — Oct 2024</w:t>
            </w:r>
          </w:p>
        </w:tc>
        <w:tc>
          <w:tcPr>
            <w:gridSpan w:val="34"/>
          </w:tcPr>
          <w:p>
            <w:pPr>
              <w:pStyle w:val="Heading4"/>
            </w:pPr>
            <w:r>
              <w:t xml:space="preserve">Senior Data Analyst, ZenBusiness</w:t>
            </w:r>
          </w:p>
        </w:tc>
        <w:tc>
          <w:tcPr>
            <w:gridSpan w:val="17"/>
          </w:tcPr>
          <w:p>
            <w:pPr>
              <w:jc w:val="right"/>
            </w:pPr>
            <w:r>
              <w:t xml:space="preserve">Remote</w:t>
            </w:r>
          </w:p>
        </w:tc>
      </w:tr>
      <w:tr>
        <w:tc>
          <w:tcPr>
            <w:vMerge w:val="continue"/>
            <w:gridSpan w:val="17"/>
          </w:tcPr>
          <w:p/>
        </w:tc>
        <w:tc>
          <w:tcPr>
            <w:gridSpan w:val="51"/>
          </w:tcPr>
          <w:p>
            <w:pPr>
              <w:spacing w:line="240" w:before="0"/>
              <w:pStyle w:val="ListParagraph"/>
              <w:numPr>
                <w:ilvl w:val="0"/>
                <w:numId w:val="3"/>
              </w:numPr>
            </w:pPr>
            <w:r>
              <w:t xml:space="preserve">Provided insights to the product and finance teams through tailor-made dashboards and one-off analyses.</w:t>
            </w:r>
          </w:p>
          <w:p>
            <w:pPr>
              <w:spacing w:line="240" w:before="0"/>
              <w:pStyle w:val="ListParagraph"/>
              <w:numPr>
                <w:ilvl w:val="0"/>
                <w:numId w:val="3"/>
              </w:numPr>
            </w:pPr>
            <w:r>
              <w:t xml:space="preserve">Assisted in putting together revenue recognition calculations and dashboards for use in accounting.</w:t>
            </w:r>
          </w:p>
          <w:p>
            <w:pPr>
              <w:spacing w:line="240" w:before="0"/>
              <w:pStyle w:val="ListParagraph"/>
              <w:numPr>
                <w:ilvl w:val="0"/>
                <w:numId w:val="3"/>
              </w:numPr>
            </w:pPr>
            <w:r>
              <w:t xml:space="preserve">Analyzed product packaging and recommended detailed strategies to improve customer take rates and retention.</w:t>
            </w:r>
          </w:p>
        </w:tc>
      </w:tr>
      <w:tr>
        <w:tc>
          <w:tcPr>
            <w:vMerge w:val="restart"/>
            <w:tcMar>
              <w:top w:w="56.69291338582677" w:type="dxa"/>
              <w:bottom w:w="0" w:type="dxa"/>
              <w:end w:w="0" w:type="dxa"/>
              <w:start w:w="0" w:type="dxa"/>
            </w:tcMar>
            <w:gridSpan w:val="17"/>
          </w:tcPr>
          <w:p>
            <w:r>
              <w:t xml:space="preserve">Jul 2021 — May 2023</w:t>
            </w:r>
          </w:p>
        </w:tc>
        <w:tc>
          <w:tcPr>
            <w:gridSpan w:val="34"/>
          </w:tcPr>
          <w:p>
            <w:pPr>
              <w:pStyle w:val="Heading4"/>
            </w:pPr>
            <w:r>
              <w:t xml:space="preserve">Data Analyst, ZenBusiness</w:t>
            </w:r>
          </w:p>
        </w:tc>
        <w:tc>
          <w:tcPr>
            <w:gridSpan w:val="17"/>
          </w:tcPr>
          <w:p>
            <w:pPr>
              <w:jc w:val="right"/>
            </w:pPr>
            <w:r>
              <w:t xml:space="preserve">Remote</w:t>
            </w:r>
          </w:p>
        </w:tc>
      </w:tr>
      <w:tr>
        <w:tc>
          <w:tcPr>
            <w:vMerge w:val="continue"/>
            <w:gridSpan w:val="17"/>
          </w:tcPr>
          <w:p/>
        </w:tc>
        <w:tc>
          <w:tcPr>
            <w:gridSpan w:val="51"/>
          </w:tcPr>
          <w:p>
            <w:pPr>
              <w:spacing w:line="240" w:before="0"/>
              <w:pStyle w:val="ListParagraph"/>
              <w:numPr>
                <w:ilvl w:val="0"/>
                <w:numId w:val="9"/>
              </w:numPr>
            </w:pPr>
            <w:r>
              <w:t xml:space="preserve">Worked closely with finance and operational teams to pull insights on customer behavior, product performance, and company-wide KPIs.</w:t>
            </w:r>
          </w:p>
        </w:tc>
      </w:tr>
      <w:tr>
        <w:tc>
          <w:tcPr>
            <w:vMerge w:val="restart"/>
            <w:tcMar>
              <w:top w:w="56.69291338582677" w:type="dxa"/>
              <w:bottom w:w="0" w:type="dxa"/>
              <w:end w:w="0" w:type="dxa"/>
              <w:start w:w="0" w:type="dxa"/>
            </w:tcMar>
            <w:gridSpan w:val="17"/>
          </w:tcPr>
          <w:p>
            <w:r>
              <w:t xml:space="preserve">Apr 2020 — Jul 2021</w:t>
            </w:r>
          </w:p>
        </w:tc>
        <w:tc>
          <w:tcPr>
            <w:gridSpan w:val="34"/>
          </w:tcPr>
          <w:p>
            <w:pPr>
              <w:pStyle w:val="Heading4"/>
            </w:pPr>
            <w:r>
              <w:t xml:space="preserve">Founder, AvaData Solutions, Inc</w:t>
            </w:r>
          </w:p>
        </w:tc>
        <w:tc>
          <w:tcPr>
            <w:gridSpan w:val="17"/>
          </w:tcPr>
          <w:p>
            <w:pPr>
              <w:jc w:val="right"/>
            </w:pPr>
            <w:r>
              <w:t xml:space="preserve">Houston, TX</w:t>
            </w:r>
          </w:p>
        </w:tc>
      </w:tr>
      <w:tr>
        <w:tc>
          <w:tcPr>
            <w:vMerge w:val="continue"/>
            <w:gridSpan w:val="17"/>
          </w:tcPr>
          <w:p/>
        </w:tc>
        <w:tc>
          <w:tcPr>
            <w:gridSpan w:val="51"/>
          </w:tcPr>
          <w:p>
            <w:pPr>
              <w:spacing w:line="240" w:before="0"/>
              <w:pStyle w:val="ListParagraph"/>
              <w:numPr>
                <w:ilvl w:val="0"/>
                <w:numId w:val="11"/>
              </w:numPr>
            </w:pPr>
            <w:r>
              <w:t xml:space="preserve">Founded a Data Analytics consulting firm that focuses on providing small businesses with custom solutions for their data analysis needs.</w:t>
            </w:r>
          </w:p>
          <w:p>
            <w:pPr>
              <w:spacing w:line="240" w:before="0"/>
              <w:pStyle w:val="ListParagraph"/>
              <w:numPr>
                <w:ilvl w:val="0"/>
                <w:numId w:val="11"/>
              </w:numPr>
            </w:pPr>
            <w:r>
              <w:t xml:space="preserve">Core competencies included data extraction, database design/management, data visualization, business intelligence, and customer experience enhancement.</w:t>
            </w:r>
          </w:p>
          <w:p>
            <w:pPr>
              <w:spacing w:line="240" w:before="0"/>
              <w:pStyle w:val="ListParagraph"/>
              <w:numPr>
                <w:ilvl w:val="0"/>
                <w:numId w:val="11"/>
              </w:numPr>
            </w:pPr>
            <w:r>
              <w:t xml:space="preserve">Worked with several small businesses nationwide to assess how to best use their data to grow their business.</w:t>
            </w:r>
          </w:p>
        </w:tc>
      </w:tr>
      <w:tr>
        <w:tc>
          <w:tcPr>
            <w:vMerge w:val="restart"/>
            <w:tcMar>
              <w:top w:w="56.69291338582677" w:type="dxa"/>
              <w:bottom w:w="0" w:type="dxa"/>
              <w:end w:w="0" w:type="dxa"/>
              <w:start w:w="0" w:type="dxa"/>
            </w:tcMar>
            <w:gridSpan w:val="17"/>
          </w:tcPr>
          <w:p>
            <w:r>
              <w:t xml:space="preserve">Apr 2019 — Jul 2021</w:t>
            </w:r>
          </w:p>
        </w:tc>
        <w:tc>
          <w:tcPr>
            <w:gridSpan w:val="34"/>
          </w:tcPr>
          <w:p>
            <w:pPr>
              <w:pStyle w:val="Heading4"/>
            </w:pPr>
            <w:r>
              <w:t xml:space="preserve">Business Analyst II, TechnipFMC</w:t>
            </w:r>
          </w:p>
        </w:tc>
        <w:tc>
          <w:tcPr>
            <w:gridSpan w:val="17"/>
          </w:tcPr>
          <w:p>
            <w:pPr>
              <w:jc w:val="right"/>
            </w:pPr>
            <w:r>
              <w:t xml:space="preserve">Houston, TX</w:t>
            </w:r>
          </w:p>
        </w:tc>
      </w:tr>
      <w:tr>
        <w:tc>
          <w:tcPr>
            <w:vMerge w:val="continue"/>
            <w:gridSpan w:val="17"/>
          </w:tcPr>
          <w:p/>
        </w:tc>
        <w:tc>
          <w:tcPr>
            <w:gridSpan w:val="51"/>
          </w:tcPr>
          <w:p>
            <w:pPr>
              <w:spacing w:line="240" w:before="0"/>
              <w:pStyle w:val="ListParagraph"/>
              <w:numPr>
                <w:ilvl w:val="0"/>
                <w:numId w:val="17"/>
              </w:numPr>
            </w:pPr>
            <w:r>
              <w:t xml:space="preserve">Evaluated profitability and financial health of various business lines and the overall oil and gas market to provide guidance for future business decisions.</w:t>
            </w:r>
          </w:p>
          <w:p>
            <w:pPr>
              <w:spacing w:line="240" w:before="0"/>
              <w:pStyle w:val="ListParagraph"/>
              <w:numPr>
                <w:ilvl w:val="0"/>
                <w:numId w:val="17"/>
              </w:numPr>
            </w:pPr>
            <w:r>
              <w:t xml:space="preserve">Spearheaded Customer Experience (CX) initiatives, tasked with maintaining quarterly Net Promoter Score surveys and other internal data collection surveys across multiple business units.</w:t>
            </w:r>
          </w:p>
        </w:tc>
      </w:tr>
      <w:tr>
        <w:tc>
          <w:tcPr>
            <w:vMerge w:val="restart"/>
            <w:tcMar>
              <w:top w:w="56.69291338582677" w:type="dxa"/>
              <w:bottom w:w="0" w:type="dxa"/>
              <w:end w:w="0" w:type="dxa"/>
              <w:start w:w="0" w:type="dxa"/>
            </w:tcMar>
            <w:gridSpan w:val="17"/>
          </w:tcPr>
          <w:p>
            <w:r>
              <w:t xml:space="preserve">May 2016 — Apr 2019</w:t>
            </w:r>
          </w:p>
        </w:tc>
        <w:tc>
          <w:tcPr>
            <w:gridSpan w:val="34"/>
          </w:tcPr>
          <w:p>
            <w:pPr>
              <w:pStyle w:val="Heading4"/>
            </w:pPr>
            <w:r>
              <w:t xml:space="preserve">Research Assistant, MD Anderson Cancer Center</w:t>
            </w:r>
          </w:p>
        </w:tc>
        <w:tc>
          <w:tcPr>
            <w:gridSpan w:val="17"/>
          </w:tcPr>
          <w:p>
            <w:pPr>
              <w:jc w:val="right"/>
            </w:pPr>
            <w:r>
              <w:t xml:space="preserve">Houston, TX</w:t>
            </w:r>
          </w:p>
        </w:tc>
      </w:tr>
      <w:tr>
        <w:tc>
          <w:tcPr>
            <w:vMerge w:val="continue"/>
            <w:gridSpan w:val="17"/>
          </w:tcPr>
          <w:p/>
        </w:tc>
        <w:tc>
          <w:tcPr>
            <w:gridSpan w:val="51"/>
          </w:tcPr>
          <w:p>
            <w:pPr>
              <w:spacing w:line="240" w:before="0"/>
              <w:pStyle w:val="ListParagraph"/>
              <w:numPr>
                <w:ilvl w:val="0"/>
                <w:numId w:val="21"/>
              </w:numPr>
            </w:pPr>
            <w:r>
              <w:t xml:space="preserve">Radiation Physics Dept. ('18-'19) and Bioinformatics &amp; Computational Bio Dept. ('16-'18)</w:t>
            </w:r>
          </w:p>
          <w:p>
            <w:pPr>
              <w:spacing w:line="240" w:before="0"/>
              <w:pStyle w:val="ListParagraph"/>
              <w:numPr>
                <w:ilvl w:val="0"/>
                <w:numId w:val="21"/>
              </w:numPr>
            </w:pPr>
            <w:r>
              <w:t xml:space="preserve">Involved in four publications over 3 years</w:t>
            </w:r>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Heading3"/>
            </w:pPr>
            <w:r>
              <w:t xml:space="preserve">EDUCATION</w:t>
            </w:r>
          </w:p>
        </w:tc>
      </w:tr>
      <w:tr>
        <w:tc>
          <w:tcPr>
            <w:tcMar>
              <w:top w:w="56.69291338582677" w:type="dxa"/>
              <w:bottom w:w="0" w:type="dxa"/>
              <w:end w:w="0" w:type="dxa"/>
              <w:start w:w="0" w:type="dxa"/>
            </w:tcMar>
            <w:gridSpan w:val="17"/>
          </w:tcPr>
          <w:p/>
        </w:tc>
        <w:tc>
          <w:tcPr>
            <w:gridSpan w:val="51"/>
          </w:tcPr>
          <w:p>
            <w:r>
              <w:t xml:space="preserve">Data Analytics Boot Camp - UC Berkeley (May 2020 - Oct 2020)</w:t>
            </w:r>
          </w:p>
          <w:p>
            <w:r>
              <w:t xml:space="preserve">B.S. Physics, Radiation Physics and Nuclear Engineering Track - The University of Texas at Austin (Aug 2012 - Dec 2016)</w:t>
            </w:r>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vMerge w:val="restart"/>
            <w:gridSpan w:val="17"/>
          </w:tcPr>
          <w:p>
            <w:pPr>
              <w:pStyle w:val="Heading3"/>
            </w:pPr>
            <w:r>
              <w:t xml:space="preserve">SKILLS</w:t>
            </w:r>
          </w:p>
        </w:tc>
        <w:tc>
          <w:tcPr>
            <w:gridSpan w:val="12"/>
          </w:tcPr>
          <w:p>
            <w:r>
              <w:t xml:space="preserve">Data Visualization - Tableau, Excel, MixPanel, Google Data Studio, PowerBI, Sisense, R</w:t>
            </w:r>
          </w:p>
        </w:tc>
        <w:tc>
          <w:tcPr>
            <w:gridSpan w:val="12"/>
          </w:tcPr>
          <w:p>
            <w:pPr>
              <w:jc w:val="right"/>
            </w:pPr>
            <w:r>
              <w:t xml:space="preserve">Expert</w:t>
            </w:r>
          </w:p>
        </w:tc>
        <w:tc>
          <w:tcPr>
            <w:gridSpan w:val="3"/>
          </w:tcPr>
          <w:p/>
        </w:tc>
        <w:tc>
          <w:tcPr>
            <w:gridSpan w:val="12"/>
          </w:tcPr>
          <w:p>
            <w:r>
              <w:t xml:space="preserve">Analytics - Snowflake, Python, SQL, Matlab, VBA</w:t>
            </w:r>
          </w:p>
        </w:tc>
        <w:tc>
          <w:tcPr>
            <w:gridSpan w:val="12"/>
          </w:tcPr>
          <w:p>
            <w:pPr>
              <w:jc w:val="right"/>
            </w:pPr>
            <w:r>
              <w:t xml:space="preserve">Expert</w:t>
            </w:r>
          </w:p>
        </w:tc>
      </w:tr>
      <w:tr>
        <w:tc>
          <w:tcPr>
            <w:vMerge w:val="continue"/>
            <w:gridSpan w:val="17"/>
          </w:tcPr>
          <w:p/>
        </w:tc>
        <w:tc>
          <w:tcPr>
            <w:gridSpan w:val="12"/>
          </w:tcPr>
          <w:p>
            <w:r>
              <w:t xml:space="preserve">ChatGPT Prompt Engineering</w:t>
            </w:r>
          </w:p>
        </w:tc>
        <w:tc>
          <w:tcPr>
            <w:gridSpan w:val="12"/>
          </w:tcPr>
          <w:p>
            <w:pPr>
              <w:jc w:val="right"/>
            </w:pPr>
            <w:r>
              <w:t xml:space="preserve">Experienced</w:t>
            </w:r>
          </w:p>
        </w:tc>
        <w:tc>
          <w:tcPr>
            <w:gridSpan w:val="3"/>
          </w:tcPr>
          <w:p/>
        </w:tc>
        <w:tc>
          <w:tcPr>
            <w:gridSpan w:val="12"/>
          </w:tcPr>
          <w:p>
            <w:r>
              <w:t xml:space="preserve">Translating complex topics into clear, compelling visuals and narratives</w:t>
            </w:r>
          </w:p>
        </w:tc>
        <w:tc>
          <w:tcPr>
            <w:gridSpan w:val="12"/>
          </w:tcPr>
          <w:p>
            <w:pPr>
              <w:jc w:val="right"/>
            </w:pPr>
            <w:r>
              <w:t xml:space="preserve">Expert</w:t>
            </w:r>
          </w:p>
        </w:tc>
      </w:tr>
      <w:tr>
        <w:tc>
          <w:tcPr>
            <w:vMerge w:val="continue"/>
            <w:gridSpan w:val="17"/>
          </w:tcPr>
          <w:p/>
        </w:tc>
        <w:tc>
          <w:tcPr>
            <w:gridSpan w:val="12"/>
          </w:tcPr>
          <w:p>
            <w:r>
              <w:t xml:space="preserve">Financial Modeling and Analysis</w:t>
            </w:r>
          </w:p>
        </w:tc>
        <w:tc>
          <w:tcPr>
            <w:gridSpan w:val="12"/>
          </w:tcPr>
          <w:p>
            <w:pPr>
              <w:jc w:val="right"/>
            </w:pPr>
            <w:r>
              <w:t xml:space="preserve">Expert</w:t>
            </w:r>
          </w:p>
        </w:tc>
        <w:tc>
          <w:tcPr>
            <w:gridSpan w:val="3"/>
          </w:tcPr>
          <w:p/>
        </w:tc>
        <w:tc>
          <w:tcPr>
            <w:gridSpan w:val="12"/>
          </w:tcPr>
          <w:p>
            <w:r>
              <w:t xml:space="preserve">Survey Design, Deployment, Collection &amp; Analysis</w:t>
            </w:r>
          </w:p>
        </w:tc>
        <w:tc>
          <w:tcPr>
            <w:gridSpan w:val="12"/>
          </w:tcPr>
          <w:p>
            <w:pPr>
              <w:jc w:val="right"/>
            </w:pPr>
            <w:r>
              <w:t xml:space="preserve">Expert</w:t>
            </w:r>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gridSpan w:val="17"/>
          </w:tcPr>
          <w:p>
            <w:pPr>
              <w:pStyle w:val="Heading3"/>
            </w:pPr>
            <w:r>
              <w:t xml:space="preserve">HOBBIES</w:t>
            </w:r>
          </w:p>
        </w:tc>
        <w:tc>
          <w:tcPr>
            <w:gridSpan w:val="51"/>
          </w:tcPr>
          <w:p>
            <w:r>
              <w:t xml:space="preserve">Mountain Biking, Photography, Cooking, Watches, Saxophone, Cars, and Traveling</w:t>
            </w:r>
          </w:p>
        </w:tc>
      </w:tr>
    </w:tbl>
    <w:sectPr>
      <w:pgSz w:w="12240" w:h="15840" w:orient="portrait"/>
      <w:pgMar w:top="453.54330708661416" w:right="566.9291338582677" w:bottom="453.54330708661416" w:left="566.9291338582677" w:header="0" w:footer="0"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80" w:line="240"/>
    </w:pPr>
    <w:rPr>
      <w:color w:val="#000"/>
      <w:sz w:val="20"/>
      <w:szCs w:val="20"/>
      <w:rFonts w:ascii="Times New Roman" w:cs="Times New Roman" w:eastAsia="Times New Roman" w:hAnsi="Times New Roman"/>
    </w:rPr>
  </w:style>
  <w:style w:type="paragraph" w:styleId="Heading1">
    <w:name w:val="Heading 1"/>
    <w:rPr>
      <w:b w:val="true"/>
      <w:bCs w:val="true"/>
      <w:sz w:val="38"/>
      <w:szCs w:val="38"/>
    </w:rPr>
    <w:basedOn w:val="Normal"/>
  </w:style>
  <w:style w:type="paragraph" w:styleId="Heading2">
    <w:name w:val="Heading 2"/>
    <w:rPr>
      <w:sz w:val="26"/>
      <w:szCs w:val="26"/>
    </w:rPr>
    <w:basedOn w:val="Normal"/>
  </w:style>
  <w:style w:type="paragraph" w:styleId="Heading3">
    <w:name w:val="Heading 3"/>
    <w:rPr>
      <w:sz w:val="22"/>
      <w:szCs w:val="22"/>
    </w:rPr>
    <w:basedOn w:val="Normal"/>
  </w:style>
  <w:style w:type="paragraph" w:styleId="Heading4">
    <w:name w:val="Heading 4"/>
    <w:rPr>
      <w:sz w:val="28"/>
      <w:szCs w:val="28"/>
    </w:rPr>
    <w:basedOn w:val="Normal"/>
  </w:style>
  <w:style w:type="paragraph" w:styleId="Heading5">
    <w:name w:val="Heading 3"/>
    <w:rPr>
      <w:sz w:val="22"/>
      <w:szCs w:val="22"/>
    </w:rPr>
    <w:basedOn w:val="Normal"/>
  </w:style>
  <w:style w:type="paragraph" w:styleId="PageNumber">
    <w:name w:val="Page Number"/>
    <w:rPr>
      <w:sz w:val="20"/>
      <w:szCs w:val="20"/>
    </w:rPr>
    <w:basedOn w:val="Normal"/>
  </w:style>
  <w:style w:type="paragraph" w:styleId="Empty">
    <w:name w:val="Empty"/>
    <w:rPr>
      <w:sz w:val="1"/>
      <w:szCs w:val="1"/>
    </w:rPr>
    <w:basedOn w:val="Normal"/>
  </w:style>
  <w:style w:type="character" w:styleId="Hyperlink">
    <w:name w:val="Hyperlink"/>
    <w:rPr>
      <w:u w:val="single"/>
    </w:rPr>
    <w:uiPriority w:val="99"/>
    <w:unhideWhenUsed/>
    <w:basedOn w:val="Normal"/>
  </w:style>
  <w:style w:type="character" w:styleId="SocialProfileLink">
    <w:name w:val="Social Profile Link"/>
    <w:rPr>
      <w:u w:val="single"/>
      <w:color w:val="#000"/>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28279" Type="http://schemas.openxmlformats.org/officeDocument/2006/relationships/hyperlink" Target="https://sathvikaithala.com" TargetMode="External"/><Relationship Id="rId24224" Type="http://schemas.openxmlformats.org/officeDocument/2006/relationships/hyperlink" Target="https://www.linkedin.com/in/sathvikaithala/" TargetMode="External"/><Relationship Id="rId35527" Type="http://schemas.openxmlformats.org/officeDocument/2006/relationships/hyperlink" Target="https://github.com/sathvikaithala" TargetMode="External"/><Relationship Id="rId28981" Type="http://schemas.openxmlformats.org/officeDocument/2006/relationships/hyperlink" Target="https://pubmed.ncbi.nlm.nih.gov/?term=sathvik+aithala" TargetMode="Externa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2025-01-10T06:38:24Z</dcterms:created>
  <dcterms:modified xsi:type="dcterms:W3CDTF">2025-01-10T06:38:24Z</dcterms:modified>
</cp:coreProperties>
</file>