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0640"/>
        <w:tblLayout w:type="fixed"/>
      </w:tblPr>
      <w:tblGrid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</w:tblGrid>
      <w:tr>
        <w:tc>
          <w:tcPr>
            <w:gridSpan w:val="9"/>
          </w:tcPr>
          <w:p>
            <w:pPr>
              <w:pStyle w:val="AvatarContainer"/>
            </w:pPr>
            <w:r>
              <w:drawing>
                <wp:inline distT="0" distB="0" distL="0" distR="0">
                  <wp:extent cx="1828800" cy="182880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828800" cy="18288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fill="#ececec"/>
            <w:gridSpan w:val="2"/>
          </w:tcPr>
          <w:p/>
        </w:tc>
        <w:tc>
          <w:tcPr>
            <w:vAlign w:val="center"/>
            <w:tcMar>
              <w:top w:w="292.5846" w:type="dxa"/>
              <w:bottom w:w="292.5846" w:type="dxa"/>
              <w:end w:w="0" w:type="dxa"/>
              <w:start w:w="0" w:type="dxa"/>
            </w:tcMar>
            <w:shd w:fill="#ececec"/>
            <w:gridSpan w:val="20"/>
          </w:tcPr>
          <w:p>
            <w:pPr>
              <w:pStyle w:val="Heading1"/>
            </w:pPr>
            <w:r>
              <w:t xml:space="preserve">Romy El Sayah</w:t>
            </w:r>
          </w:p>
          <w:p>
            <w:pPr>
              <w:pStyle w:val="Heading2"/>
            </w:pPr>
            <w:r>
              <w:t xml:space="preserve">Experienced Product Leader and Innovator</w:t>
            </w:r>
          </w:p>
          <w:p/>
          <w:p>
            <w:pPr>
              <w:pStyle w:val="ColoredHeaderText"/>
            </w:pPr>
            <w:r>
              <w:t xml:space="preserve">8573896164</w:t>
            </w:r>
            <w:r>
              <w:t xml:space="preserve"> • </w:t>
            </w:r>
            <w:hyperlink w:history="1" r:id="rId38813">
              <w:r>
                <w:rPr>
                  <w:rStyle w:val="Hyperlink"/>
                </w:rPr>
                <w:t xml:space="preserve">romysayah@gmail.com</w:t>
              </w:r>
            </w:hyperlink>
          </w:p>
        </w:tc>
        <w:tc>
          <w:tcPr>
            <w:shd w:fill="#ececec"/>
            <w:gridSpan w:val="2"/>
          </w:tcPr>
          <w:p/>
        </w:tc>
      </w:tr>
      <w:tr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9"/>
          </w:tcPr>
          <w:p>
            <w:pPr>
              <w:pStyle w:val="Heading5"/>
            </w:pPr>
            <w:r>
              <w:t xml:space="preserve">Languages</w:t>
            </w:r>
          </w:p>
          <w:p>
            <w:pPr>
              <w:spacing w:before="160"/>
              <w:pStyle w:val="Normal"/>
            </w:pPr>
            <w:r>
              <w:t xml:space="preserve">English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2560"/>
              <w:tblLayout w:type="fixed"/>
            </w:tblPr>
            <w:tblGrid>
              <w:gridCol w:w="496"/>
              <w:gridCol w:w="496"/>
              <w:gridCol w:w="496"/>
              <w:gridCol w:w="496"/>
              <w:gridCol w:w="496"/>
            </w:tblGrid>
            <w:tr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spacing w:before="160"/>
              <w:pStyle w:val="Normal"/>
            </w:pPr>
            <w:r>
              <w:t xml:space="preserve">French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2560"/>
              <w:tblLayout w:type="fixed"/>
            </w:tblPr>
            <w:tblGrid>
              <w:gridCol w:w="496"/>
              <w:gridCol w:w="496"/>
              <w:gridCol w:w="496"/>
              <w:gridCol w:w="496"/>
              <w:gridCol w:w="496"/>
            </w:tblGrid>
            <w:tr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#BABABA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spacing w:before="160"/>
              <w:pStyle w:val="Normal"/>
            </w:pPr>
            <w:r>
              <w:t xml:space="preserve">Arabic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2560"/>
              <w:tblLayout w:type="fixed"/>
            </w:tblPr>
            <w:tblGrid>
              <w:gridCol w:w="496"/>
              <w:gridCol w:w="496"/>
              <w:gridCol w:w="496"/>
              <w:gridCol w:w="496"/>
              <w:gridCol w:w="496"/>
            </w:tblGrid>
            <w:tr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#BABABA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spacing w:before="160"/>
              <w:pStyle w:val="Normal"/>
            </w:pPr>
            <w:r>
              <w:t xml:space="preserve">German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2560"/>
              <w:tblLayout w:type="fixed"/>
            </w:tblPr>
            <w:tblGrid>
              <w:gridCol w:w="496"/>
              <w:gridCol w:w="496"/>
              <w:gridCol w:w="496"/>
              <w:gridCol w:w="496"/>
              <w:gridCol w:w="496"/>
            </w:tblGrid>
            <w:tr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0f141e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Borders>
                    <w:right w:val="single" w:sz="20" w:color="#FFFFFF"/>
                  </w:tcBorders>
                  <w:shd w:fill="#BABABA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#BABABA" w:val="clear" w:color="auto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spacing w:after="200"/>
              <w:pStyle w:val="Normal"/>
            </w:pPr>
          </w:p>
        </w:tc>
        <w:tc>
          <w:tcPr>
            <w:gridSpan w:val="2"/>
          </w:tcPr>
          <w:p/>
        </w:tc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22"/>
          </w:tcPr>
          <w:p>
            <w:pPr>
              <w:pStyle w:val="Heading3"/>
            </w:pPr>
            <w:r>
              <w:t xml:space="preserve">Employment History</w:t>
            </w:r>
          </w:p>
          <w:p>
            <w:pPr>
              <w:pStyle w:val="Heading4"/>
            </w:pPr>
            <w:r>
              <w:t xml:space="preserve">Founder, J24X LLC</w:t>
            </w:r>
          </w:p>
          <w:p>
            <w:pPr>
              <w:pStyle w:val="DateRange"/>
            </w:pPr>
            <w:r>
              <w:t xml:space="preserve">June 2024 — Present</w:t>
            </w:r>
          </w:p>
          <w:p>
            <w:r>
              <w:t xml:space="preserve">Building, testing and iterating on: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hyperlink w:history="1" r:id="rId60409">
              <w:r>
                <w:rPr>
                  <w:rStyle w:val="Hyperlink"/>
                </w:rPr>
                <w:t xml:space="preserve">https://plustwo.co/</w:t>
              </w:r>
            </w:hyperlink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hyperlink w:history="1" r:id="rId6165">
              <w:r>
                <w:rPr>
                  <w:rStyle w:val="Hyperlink"/>
                </w:rPr>
                <w:t xml:space="preserve">https://roundsoundbowl.com/</w:t>
              </w:r>
            </w:hyperlink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Sr. Product Manager, Magic Leap Inc.</w:t>
            </w:r>
          </w:p>
          <w:p>
            <w:pPr>
              <w:pStyle w:val="DateRange"/>
            </w:pPr>
            <w:r>
              <w:t xml:space="preserve">November 2021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Led the design, strategy and development of 8+ apps and cross-app features including mobile scenarios, gesture and voice interaction, a 3D model viewer app, multi-window management and AI interaction. 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Spearheaded the development of an analytics platform tailored to extract specific product feature ideas from social listening partner data, utilizing LLM. 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Led a team of 2 data scientists and created the “Crowd Insights &amp; Analytics” unit, facilitating the extraction of insights to inform product management decisions regarding product ideation for 1P apps. 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Helped the user research analytics team set up a data analysis automation to capture user behavior on device. 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Conducted research on multimodal interactions with adjacent wearables, identifying potential partnerships and unlocking new use cases.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Guest Lecturer, GenAI, Harvard Business School, Boston</w:t>
            </w:r>
          </w:p>
          <w:p>
            <w:pPr>
              <w:pStyle w:val="DateRange"/>
            </w:pPr>
            <w:r>
              <w:t xml:space="preserve">August 2023 — September 2023</w:t>
            </w:r>
          </w:p>
          <w:p>
            <w:r>
              <w:t xml:space="preserve">Co-taught a 4-week long course on AI Product Innovation “ES 285: Design, Theory and Practice” for the new MSMBA students </w:t>
            </w:r>
          </w:p>
          <w:p>
            <w:r>
              <w:t xml:space="preserve">Mentored students to come up with product ideas for the partners H&amp;M, Bosch and Flos, integrating generative AI. </w:t>
            </w:r>
          </w:p>
          <w:p>
            <w:r>
              <w:t xml:space="preserve">Gave 3 lectures on Generative AI and Product Innovation.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Innovation Product Strategist, The MathWorks Inc., Boston</w:t>
            </w:r>
          </w:p>
          <w:p>
            <w:pPr>
              <w:pStyle w:val="DateRange"/>
            </w:pPr>
            <w:r>
              <w:t xml:space="preserve">July 2020 — October 2021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Implemented a new program for the side-project Incubation Lab that included a website, an outreach system, innovation frameworks and strategies to secure managerial buy-in for prod- uct adoption. Conducted in-person brainstorming workshops for new product ideas.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Played a pivotal role in the development cycle of three platforms, notably spearheading the creation of a user feedback aggregation platform for MathWorks products, equipped with advanced sentiment analysis capabilities.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Led the design of 6+ web and desktop products. Developed the design strategy for a new desktop feature that won the 2nd prize for the company-wide HackDay challenge.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Product Manager, UN-Habitat</w:t>
            </w:r>
          </w:p>
          <w:p>
            <w:pPr>
              <w:pStyle w:val="DateRange"/>
            </w:pPr>
            <w:r>
              <w:t xml:space="preserve">November 2022 — April 2023</w:t>
            </w:r>
          </w:p>
          <w:p>
            <w:r>
              <w:t xml:space="preserve">In collaboration with Omdena, managed the development of an AI platform to map vulnerable areas in the Philippines ( </w:t>
            </w:r>
            <w:hyperlink w:history="1" r:id="rId55667">
              <w:r>
                <w:rPr>
                  <w:rStyle w:val="Hyperlink"/>
                </w:rPr>
                <w:t xml:space="preserve">web link</w:t>
              </w:r>
            </w:hyperlink>
            <w:r>
              <w:t xml:space="preserve">).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HCI Researcher, Harvard’s Laboratory for Design Technologies, Boston</w:t>
            </w:r>
          </w:p>
          <w:p>
            <w:pPr>
              <w:pStyle w:val="DateRange"/>
            </w:pPr>
            <w:r>
              <w:t xml:space="preserve">April 2020 — May 2021</w:t>
            </w:r>
          </w:p>
          <w:p>
            <w:r>
              <w:t xml:space="preserve">Led the design and development of a web platform that empowers residents of Boston with the customization of their homes with AI. Won the 4th prized for the Re:Humanism Artificial Intelligence Project, and exhibited in MAXXI, Rome ( </w:t>
            </w:r>
            <w:hyperlink w:history="1" r:id="rId43674">
              <w:r>
                <w:rPr>
                  <w:rStyle w:val="Hyperlink"/>
                </w:rPr>
                <w:t xml:space="preserve">article link</w:t>
              </w:r>
            </w:hyperlink>
            <w:r>
              <w:t xml:space="preserve">).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Founder, Lebanocracia.org, Boston</w:t>
            </w:r>
          </w:p>
          <w:p>
            <w:pPr>
              <w:pStyle w:val="DateRange"/>
            </w:pPr>
            <w:r>
              <w:t xml:space="preserve">September 2019 — April 2020</w:t>
            </w:r>
          </w:p>
          <w:p>
            <w:r>
              <w:t xml:space="preserve">Led a team of 6 to launch a platform to collect and analyze political needs of protesters in Lebanon (300,000+ votes collected). Went on TV to encourage people to use the platform ( </w:t>
            </w:r>
            <w:hyperlink w:history="1" r:id="rId59411">
              <w:r>
                <w:rPr>
                  <w:rStyle w:val="Hyperlink"/>
                </w:rPr>
                <w:t xml:space="preserve">TV interview link</w:t>
              </w:r>
            </w:hyperlink>
            <w:r>
              <w:t xml:space="preserve">).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Dar Al Handasah, Consultant, Beirut</w:t>
            </w:r>
          </w:p>
          <w:p>
            <w:pPr>
              <w:pStyle w:val="DateRange"/>
            </w:pPr>
            <w:r>
              <w:t xml:space="preserve">June 2016 — June 2018</w:t>
            </w:r>
          </w:p>
          <w:p>
            <w:r>
              <w:t xml:space="preserve">Designed 30,000 sqm military airport maintenance hangar in Kuwait, meeting NATO standards. Implemented concepts for a Luanda pantheon and an Abu Dhabi residential complex.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Education</w:t>
            </w:r>
          </w:p>
          <w:p>
            <w:pPr>
              <w:pStyle w:val="Heading4"/>
            </w:pPr>
            <w:r>
              <w:t xml:space="preserve">Master in Design Studies in Technology, Harvard's Graduate School of Design, Boston</w:t>
            </w:r>
          </w:p>
          <w:p>
            <w:pPr>
              <w:pStyle w:val="DateRange"/>
            </w:pPr>
            <w:r>
              <w:t xml:space="preserve">August 2018 — May 2020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Bachelor of Architecture, American University of Beirut, Beirut</w:t>
            </w:r>
          </w:p>
          <w:p>
            <w:pPr>
              <w:pStyle w:val="DateRange"/>
            </w:pPr>
            <w:r>
              <w:t xml:space="preserve">August 2011 — May 2016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Talks / Awards</w:t>
            </w:r>
          </w:p>
          <w:p>
            <w:pPr>
              <w:pStyle w:val="Heading4"/>
            </w:pPr>
            <w:r>
              <w:t xml:space="preserve">DIDI, Dubai Institute of Design and Innovation</w:t>
            </w:r>
          </w:p>
          <w:p>
            <w:pPr>
              <w:pStyle w:val="DateRange"/>
            </w:pPr>
            <w:r>
              <w:t xml:space="preserve">2023</w:t>
            </w:r>
          </w:p>
          <w:p>
            <w:r>
              <w:t xml:space="preserve">Guest Lecturer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Collective Living, Machine Learning and the City</w:t>
            </w:r>
          </w:p>
          <w:p>
            <w:pPr>
              <w:pStyle w:val="DateRange"/>
            </w:pPr>
            <w:r>
              <w:t xml:space="preserve">2021</w:t>
            </w:r>
          </w:p>
          <w:p>
            <w:r>
              <w:t xml:space="preserve">Work Published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MAXXI Museum of Modern Art in Rome, Rehumanism AI Prize</w:t>
            </w:r>
          </w:p>
          <w:p>
            <w:pPr>
              <w:pStyle w:val="DateRange"/>
            </w:pPr>
            <w:r>
              <w:t xml:space="preserve">2021</w:t>
            </w:r>
          </w:p>
          <w:p>
            <w:r>
              <w:t xml:space="preserve">Work Exhibited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Primer21, Conference about Futures</w:t>
            </w:r>
          </w:p>
          <w:p>
            <w:pPr>
              <w:pStyle w:val="DateRange"/>
            </w:pPr>
            <w:r>
              <w:t xml:space="preserve">2021</w:t>
            </w:r>
          </w:p>
          <w:p>
            <w:r>
              <w:t xml:space="preserve">Guest Speaker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ACM CHI on Human Factors in Computing Systems</w:t>
            </w:r>
          </w:p>
          <w:p>
            <w:pPr>
              <w:pStyle w:val="DateRange"/>
            </w:pPr>
            <w:r>
              <w:t xml:space="preserve">2019</w:t>
            </w:r>
          </w:p>
          <w:p>
            <w:r>
              <w:t xml:space="preserve">Selected Paper and Guest Speaker </w:t>
            </w:r>
          </w:p>
          <w:p>
            <w:pPr>
              <w:pStyle w:val="Heading3"/>
            </w:pPr>
          </w:p>
        </w:tc>
      </w:tr>
    </w:tbl>
    <w:sectPr>
      <w:pgSz w:w="11906" w:h="16838" w:orient="portrait"/>
      <w:pgMar w:top="640" w:right="640" w:bottom="640" w:left="640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240"/>
    </w:pPr>
    <w:rPr>
      <w:color w:val="#0f141e"/>
      <w:sz w:val="20"/>
      <w:szCs w:val="20"/>
      <w:rFonts w:ascii="IBM Plex Sans" w:cs="IBM Plex Sans" w:eastAsia="IBM Plex Sans" w:hAnsi="IBM Plex Sans"/>
    </w:rPr>
  </w:style>
  <w:style w:type="paragraph" w:styleId="Heading1">
    <w:name w:val="Heading 1"/>
    <w:rPr>
      <w:b w:val="true"/>
      <w:bCs w:val="true"/>
      <w:color w:val="#0f141e"/>
      <w:sz w:val="48"/>
      <w:szCs w:val="48"/>
    </w:rPr>
    <w:basedOn w:val="Normal"/>
  </w:style>
  <w:style w:type="paragraph" w:styleId="Heading2">
    <w:name w:val="Heading 2"/>
    <w:rPr>
      <w:color w:val="#0f141e"/>
      <w:sz w:val="32"/>
      <w:szCs w:val="32"/>
    </w:rPr>
    <w:basedOn w:val="Normal"/>
  </w:style>
  <w:style w:type="paragraph" w:styleId="Heading3">
    <w:name w:val="Heading 3"/>
    <w:rPr>
      <w:b w:val="true"/>
      <w:bCs w:val="true"/>
      <w:sz w:val="32"/>
      <w:szCs w:val="32"/>
    </w:rPr>
    <w:basedOn w:val="Normal"/>
  </w:style>
  <w:style w:type="paragraph" w:styleId="Heading4">
    <w:name w:val="Heading 4"/>
    <w:rPr>
      <w:b w:val="true"/>
      <w:bCs w:val="true"/>
      <w:sz w:val="22"/>
      <w:szCs w:val="22"/>
    </w:rPr>
    <w:basedOn w:val="Normal"/>
  </w:style>
  <w:style w:type="paragraph" w:styleId="Heading5">
    <w:name w:val="Heading 5"/>
    <w:rPr>
      <w:b w:val="true"/>
      <w:bCs w:val="true"/>
      <w:sz w:val="20"/>
      <w:szCs w:val="20"/>
    </w:rPr>
    <w:basedOn w:val="Normal"/>
  </w:style>
  <w:style w:type="paragraph" w:styleId="DateRange">
    <w:name w:val="Date Range"/>
    <w:rPr>
      <w:sz w:val="20"/>
      <w:szCs w:val="20"/>
    </w:rPr>
    <w:basedOn w:val="Normal"/>
  </w:style>
  <w:style w:type="paragraph" w:styleId="ColoredHeaderText">
    <w:name w:val="Colored Header Text"/>
    <w:rPr>
      <w:color w:val="#0f141e"/>
    </w:rPr>
    <w:basedOn w:val="Normal"/>
  </w:style>
  <w:style w:type="paragraph" w:styleId="AvatarContainer">
    <w:name w:val="Avatar container"/>
    <w:pPr>
      <w:spacing w:line="0" w:before="0" w:after="0"/>
      <w:jc w:val="center"/>
    </w:pPr>
    <w:qFormat/>
  </w:style>
  <w:style w:type="paragraph" w:styleId="SkillBar">
    <w:name w:val="Skill Bar"/>
    <w:pPr>
      <w:spacing w:line="48" w:before="0" w:after="0"/>
    </w:pPr>
    <w:basedOn w:val="Normal"/>
    <w:next w:val="Normal"/>
    <w:qFormat/>
  </w:style>
  <w:style w:type="character" w:styleId="Hyperlink">
    <w:name w:val="Hyperlink"/>
    <w:rPr>
      <w:u w:val="single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8813" Type="http://schemas.openxmlformats.org/officeDocument/2006/relationships/hyperlink" Target="mailto:romysayah@gmail.com" TargetMode="External"/><Relationship Id="rId60409" Type="http://schemas.openxmlformats.org/officeDocument/2006/relationships/hyperlink" Target="https://plustwo.co/" TargetMode="External"/><Relationship Id="rId6165" Type="http://schemas.openxmlformats.org/officeDocument/2006/relationships/hyperlink" Target="https://roundsoundbowl.com/" TargetMode="External"/><Relationship Id="rId55667" Type="http://schemas.openxmlformats.org/officeDocument/2006/relationships/hyperlink" Target="https://kmedri-philippines.streamlit.app/Cluster_Prediction" TargetMode="External"/><Relationship Id="rId43674" Type="http://schemas.openxmlformats.org/officeDocument/2006/relationships/hyperlink" Target="https://www.re-humanism.com/project/elizabeth-bowie-christoforetti-and-romy-el-sayah/" TargetMode="External"/><Relationship Id="rId59411" Type="http://schemas.openxmlformats.org/officeDocument/2006/relationships/hyperlink" Target="https://www.youtube.com/watch?v=2lfiYJnFjM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3" Type="http://schemas.openxmlformats.org/officeDocument/2006/relationships/image" Target="media/rjlfm8bq2q8jub2z6pabp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2025-04-04T00:20:06Z</dcterms:created>
  <dcterms:modified xsi:type="dcterms:W3CDTF">2025-04-04T00:20:06Z</dcterms:modified>
</cp:coreProperties>
</file>