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auto" w:w="11100.472440944883"/>
        <w:tblLayout w:type="fixed"/>
      </w:tblPr>
      <w:tblGrid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</w:tblGrid>
      <w:tr>
        <w:tc>
          <w:tcPr>
            <w:vAlign w:val="center"/>
            <w:gridSpan w:val="68"/>
          </w:tcPr>
          <w:p>
            <w:pPr>
              <w:jc w:val="center"/>
              <w:pStyle w:val="Heading1"/>
            </w:pPr>
            <w:r>
              <w:t xml:space="preserve">Tanaya Melwani, CFA, FRM</w:t>
            </w:r>
          </w:p>
          <w:p>
            <w:pPr>
              <w:jc w:val="center"/>
              <w:pStyle w:val="Heading2"/>
            </w:pPr>
            <w:r>
              <w:t xml:space="preserve">23 Maresfield Gardens, London, NW3 5SD, United Kingdom, +447942677495, tanaya.vaidya@gmail.com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gridSpan w:val="17"/>
          </w:tcPr>
          <w:p>
            <w:pPr>
              <w:pStyle w:val="Heading3"/>
            </w:pPr>
            <w:r>
              <w:t xml:space="preserve">PROFILE</w:t>
            </w:r>
          </w:p>
        </w:tc>
        <w:tc>
          <w:tcPr>
            <w:gridSpan w:val="51"/>
          </w:tcPr>
          <w:p>
            <w:r>
              <w:t xml:space="preserve">Experienced Data Scientist and Analytics Professional, passionate about transforming data into actionable insights that drive strategic decision making and growth.</w:t>
            </w:r>
          </w:p>
          <w:p>
            <w:r>
              <w:t xml:space="preserve">Industry Experience: Grocery, Retail, Natural Energy, Education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Heading3"/>
            </w:pPr>
            <w:r>
              <w:t xml:space="preserve">EMPLOYMENT HISTORY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Dec 2022 — Present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Founder, DataInsights TM Ltd.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London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Freelance consulting offering</w:t>
            </w:r>
            <w:r>
              <w:rPr>
                <w:b w:val="true"/>
                <w:bCs w:val="true"/>
              </w:rPr>
              <w:t xml:space="preserve">data science and analytics tailored solutions</w:t>
            </w:r>
            <w:r>
              <w:t xml:space="preserve">to clients.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Key skills: Data Analysis, Machine Learning and Data Visualisations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Collaborate closely with clients to</w:t>
            </w:r>
            <w:r>
              <w:rPr>
                <w:b w:val="true"/>
                <w:bCs w:val="true"/>
              </w:rPr>
              <w:t xml:space="preserve">understand</w:t>
            </w:r>
            <w:r>
              <w:t xml:space="preserve">their</w:t>
            </w:r>
            <w:r>
              <w:rPr>
                <w:b w:val="true"/>
                <w:bCs w:val="true"/>
              </w:rPr>
              <w:t xml:space="preserve">business needs</w:t>
            </w:r>
            <w:r>
              <w:t xml:space="preserve">, devise</w:t>
            </w:r>
            <w:r>
              <w:rPr>
                <w:b w:val="true"/>
                <w:bCs w:val="true"/>
              </w:rPr>
              <w:t xml:space="preserve">appropriate</w:t>
            </w:r>
            <w:r>
              <w:t xml:space="preserve">analytical</w:t>
            </w:r>
            <w:r>
              <w:rPr>
                <w:b w:val="true"/>
                <w:bCs w:val="true"/>
              </w:rPr>
              <w:t xml:space="preserve">solutions</w:t>
            </w:r>
            <w:r>
              <w:t xml:space="preserve">, and</w:t>
            </w:r>
            <w:r>
              <w:rPr>
                <w:b w:val="true"/>
                <w:bCs w:val="true"/>
              </w:rPr>
              <w:t xml:space="preserve">communicate</w:t>
            </w:r>
            <w:r>
              <w:t xml:space="preserve">results in an accessible manner with a focus on</w:t>
            </w:r>
            <w:r>
              <w:rPr>
                <w:b w:val="true"/>
                <w:bCs w:val="true"/>
              </w:rPr>
              <w:t xml:space="preserve">actionable insights</w:t>
            </w:r>
            <w:r>
              <w:t xml:space="preserve">and</w:t>
            </w:r>
            <w:r>
              <w:rPr>
                <w:b w:val="true"/>
                <w:bCs w:val="true"/>
              </w:rPr>
              <w:t xml:space="preserve">recommendations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12+ years of industry experience across Grocery, Retail, Education and Natural Energy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Mar 2021 — May 2022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Data Scientist, Deliveroo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London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11"/>
              </w:numPr>
            </w:pPr>
            <w:r>
              <w:t xml:space="preserve">Led</w:t>
            </w:r>
            <w:r>
              <w:rPr>
                <w:b w:val="true"/>
                <w:bCs w:val="true"/>
              </w:rPr>
              <w:t xml:space="preserve">tailored analytical projects</w:t>
            </w:r>
            <w:r>
              <w:t xml:space="preserve">for Deliveroo’s Grocery Strategy team, including identifying high-impact grocery items to prioritise, resulting in targeted initiatives that improved Net Promoter Score (NPS).</w:t>
            </w:r>
          </w:p>
          <w:p>
            <w:pPr>
              <w:spacing w:line="240" w:before="0"/>
              <w:pStyle w:val="ListParagraph"/>
              <w:numPr>
                <w:ilvl w:val="0"/>
                <w:numId w:val="11"/>
              </w:numPr>
            </w:pPr>
            <w:r>
              <w:t xml:space="preserve">Designed and evaluated</w:t>
            </w:r>
            <w:r>
              <w:rPr>
                <w:b w:val="true"/>
                <w:bCs w:val="true"/>
              </w:rPr>
              <w:t xml:space="preserve">A/B tests</w:t>
            </w:r>
            <w:r>
              <w:t xml:space="preserve">for the Product team, driving product enhancements based on rigorous data analysis</w:t>
            </w:r>
          </w:p>
          <w:p>
            <w:pPr>
              <w:spacing w:line="240" w:before="0"/>
              <w:pStyle w:val="ListParagraph"/>
              <w:numPr>
                <w:ilvl w:val="0"/>
                <w:numId w:val="11"/>
              </w:numPr>
            </w:pPr>
            <w:r>
              <w:t xml:space="preserve">Proactively contributed towards</w:t>
            </w:r>
            <w:r>
              <w:rPr>
                <w:b w:val="true"/>
                <w:bCs w:val="true"/>
              </w:rPr>
              <w:t xml:space="preserve">enhancing</w:t>
            </w:r>
            <w:r>
              <w:t xml:space="preserve">the grocery</w:t>
            </w:r>
            <w:r>
              <w:rPr>
                <w:b w:val="true"/>
                <w:bCs w:val="true"/>
              </w:rPr>
              <w:t xml:space="preserve">data infrastructure</w:t>
            </w:r>
            <w:r>
              <w:t xml:space="preserve">, leading to improved efficiency in data availability and analysis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Mar 2013 — Feb 2021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Senior Applied Data Scientist, dunnhumby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London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r>
              <w:t xml:space="preserve">Analysed grocery data for a leading UK grocer, providing insights that informed critical decisions in pricing, promotion strategies, store layouts, product ranging, category management, new product development, and marketing campaigns.</w:t>
            </w:r>
          </w:p>
          <w:p>
            <w:r>
              <w:rPr>
                <w:b w:val="true"/>
                <w:bCs w:val="true"/>
              </w:rPr>
              <w:t xml:space="preserve">Key Skills</w:t>
            </w:r>
          </w:p>
          <w:p>
            <w:pPr>
              <w:spacing w:line="240" w:before="0"/>
              <w:pStyle w:val="ListParagraph"/>
              <w:numPr>
                <w:ilvl w:val="0"/>
                <w:numId w:val="17"/>
              </w:numPr>
            </w:pPr>
            <w:r>
              <w:rPr>
                <w:b w:val="true"/>
                <w:bCs w:val="true"/>
              </w:rPr>
              <w:t xml:space="preserve">Data Science &amp; Analytics:</w:t>
            </w:r>
            <w:r>
              <w:t xml:space="preserve">Machine Learning (k-means clustering, XGBoost, propensity modeling), Data Analysis, A/B Testing (for store trials, marketing campaigns), Dashboards</w:t>
            </w:r>
          </w:p>
          <w:p>
            <w:pPr>
              <w:spacing w:line="240" w:before="0"/>
              <w:pStyle w:val="ListParagraph"/>
              <w:numPr>
                <w:ilvl w:val="0"/>
                <w:numId w:val="17"/>
              </w:numPr>
            </w:pPr>
            <w:r>
              <w:rPr>
                <w:b w:val="true"/>
                <w:bCs w:val="true"/>
              </w:rPr>
              <w:t xml:space="preserve">Tools &amp; Technologies:</w:t>
            </w:r>
            <w:r>
              <w:t xml:space="preserve">SQL, Python, Tableau, Microsoft Excel</w:t>
            </w:r>
          </w:p>
          <w:p>
            <w:pPr>
              <w:spacing w:line="240" w:before="0"/>
              <w:pStyle w:val="ListParagraph"/>
              <w:numPr>
                <w:ilvl w:val="0"/>
                <w:numId w:val="17"/>
              </w:numPr>
            </w:pPr>
            <w:r>
              <w:rPr>
                <w:b w:val="true"/>
                <w:bCs w:val="true"/>
              </w:rPr>
              <w:t xml:space="preserve">Communication:</w:t>
            </w:r>
            <w:r>
              <w:t xml:space="preserve">Skilled in interpreting non-technical briefs, developing tailored analytical solutions, and translating complex data into clear, actionable insights, effectively communicating results to non-technical stakeholders</w:t>
            </w:r>
          </w:p>
          <w:p>
            <w:r>
              <w:rPr>
                <w:b w:val="true"/>
                <w:bCs w:val="true"/>
              </w:rPr>
              <w:t xml:space="preserve">Company Initiatives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rPr>
                <w:b w:val="true"/>
                <w:bCs w:val="true"/>
              </w:rPr>
              <w:t xml:space="preserve">Learning &amp; Development:</w:t>
            </w:r>
            <w:r>
              <w:t xml:space="preserve">Course Facilitator for the "Introduction to Statistics" course, updating content to align with commercial team needs and successfully delivering the course three times annually.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rPr>
                <w:b w:val="true"/>
                <w:bCs w:val="true"/>
              </w:rPr>
              <w:t xml:space="preserve">Knowledge Sharing:</w:t>
            </w:r>
            <w:r>
              <w:t xml:space="preserve">Designed and launched an internal website to facilitate effective knowledge sharing between the Data Science and Commercial teams, improving cross-functional collaboration.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rPr>
                <w:b w:val="true"/>
                <w:bCs w:val="true"/>
              </w:rPr>
              <w:t xml:space="preserve">Recruitment and Outreach:</w:t>
            </w:r>
            <w:r>
              <w:t xml:space="preserve">Represented dunnhumby at University Career Fairs, enhancing the company’s brand presence. Delivered a guest lecture on Propensity Models and their application to Retail at Oxford University, strengthening academic relationships.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Heading3"/>
            </w:pPr>
            <w:r>
              <w:t xml:space="preserve">EDUCATION</w:t>
            </w:r>
          </w:p>
        </w:tc>
      </w:tr>
      <w:tr>
        <w:tc>
          <w:tcPr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Sep 2010 — Sep 2011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MSc in Applied Statistics, Oxford University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Oxford</w:t>
            </w:r>
          </w:p>
        </w:tc>
      </w:tr>
      <w:tr>
        <w:tc>
          <w:tcPr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Sep 2001 — May 2004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BSc. in Finance (High Honors), Rutgers University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New Brunswick, NJ, USA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vMerge w:val="restart"/>
            <w:gridSpan w:val="17"/>
          </w:tcPr>
          <w:p>
            <w:pPr>
              <w:pStyle w:val="Heading3"/>
            </w:pPr>
            <w:r>
              <w:t xml:space="preserve">SKILLS</w:t>
            </w:r>
          </w:p>
        </w:tc>
        <w:tc>
          <w:tcPr>
            <w:gridSpan w:val="12"/>
          </w:tcPr>
          <w:p>
            <w:r>
              <w:t xml:space="preserve">Data Analysis</w:t>
            </w:r>
          </w:p>
        </w:tc>
        <w:tc>
          <w:tcPr>
            <w:gridSpan w:val="12"/>
          </w:tcPr>
          <w:p>
            <w:pPr>
              <w:jc w:val="right"/>
            </w:pPr>
            <w:r>
              <w:t xml:space="preserve">Expert</w:t>
            </w:r>
          </w:p>
        </w:tc>
        <w:tc>
          <w:tcPr>
            <w:gridSpan w:val="3"/>
          </w:tcPr>
          <w:p/>
        </w:tc>
        <w:tc>
          <w:tcPr>
            <w:gridSpan w:val="12"/>
          </w:tcPr>
          <w:p>
            <w:r>
              <w:t xml:space="preserve">Data Visualization</w:t>
            </w:r>
          </w:p>
        </w:tc>
        <w:tc>
          <w:tcPr>
            <w:gridSpan w:val="12"/>
          </w:tcPr>
          <w:p>
            <w:pPr>
              <w:jc w:val="right"/>
            </w:pPr>
            <w:r>
              <w:t xml:space="preserve">Expert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12"/>
          </w:tcPr>
          <w:p>
            <w:r>
              <w:t xml:space="preserve">Machine Learning</w:t>
            </w:r>
          </w:p>
        </w:tc>
        <w:tc>
          <w:tcPr>
            <w:gridSpan w:val="12"/>
          </w:tcPr>
          <w:p>
            <w:pPr>
              <w:jc w:val="right"/>
            </w:pPr>
            <w:r>
              <w:t xml:space="preserve">Experienced</w:t>
            </w:r>
          </w:p>
        </w:tc>
        <w:tc>
          <w:tcPr>
            <w:gridSpan w:val="3"/>
          </w:tcPr>
          <w:p/>
        </w:tc>
        <w:tc>
          <w:tcPr>
            <w:gridSpan w:val="12"/>
          </w:tcPr>
          <w:p>
            <w:r>
              <w:t xml:space="preserve">Customer Insight</w:t>
            </w:r>
          </w:p>
        </w:tc>
        <w:tc>
          <w:tcPr>
            <w:gridSpan w:val="12"/>
          </w:tcPr>
          <w:p>
            <w:pPr>
              <w:jc w:val="right"/>
            </w:pPr>
            <w:r>
              <w:t xml:space="preserve">Expert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12"/>
          </w:tcPr>
          <w:p>
            <w:r>
              <w:t xml:space="preserve">Segmentations</w:t>
            </w:r>
          </w:p>
        </w:tc>
        <w:tc>
          <w:tcPr>
            <w:gridSpan w:val="12"/>
          </w:tcPr>
          <w:p>
            <w:pPr>
              <w:jc w:val="right"/>
            </w:pPr>
            <w:r>
              <w:t xml:space="preserve">Expert</w:t>
            </w:r>
          </w:p>
        </w:tc>
        <w:tc>
          <w:tcPr>
            <w:gridSpan w:val="3"/>
          </w:tcPr>
          <w:p/>
        </w:tc>
        <w:tc>
          <w:tcPr>
            <w:gridSpan w:val="12"/>
          </w:tcPr>
          <w:p>
            <w:r>
              <w:t xml:space="preserve">SQL, Python</w:t>
            </w:r>
          </w:p>
        </w:tc>
        <w:tc>
          <w:tcPr>
            <w:gridSpan w:val="12"/>
          </w:tcPr>
          <w:p>
            <w:pPr>
              <w:jc w:val="right"/>
            </w:pPr>
            <w:r>
              <w:t xml:space="preserve">Expert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Heading3"/>
            </w:pPr>
            <w:r>
              <w:t xml:space="preserve">FINANCE CAREER 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Mar 2004 — Sep 2007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Finance Analyst at Deutsche Bank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New York City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rPr>
                <w:b w:val="true"/>
                <w:bCs w:val="true"/>
              </w:rPr>
              <w:t xml:space="preserve">Validated daily P&amp;L</w:t>
            </w:r>
            <w:r>
              <w:t xml:space="preserve">for the trading desk, ensuring accuracy in financial reporting across credit default swaps, corporate bonds, treasuries, and equities.</w:t>
            </w:r>
          </w:p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rPr>
                <w:b w:val="true"/>
                <w:bCs w:val="true"/>
              </w:rPr>
              <w:t xml:space="preserve">Collaborated closely with business head controllers</w:t>
            </w:r>
            <w:r>
              <w:t xml:space="preserve">to verify financial forecasts and authored detailed performance commentary for investor reports.</w:t>
            </w:r>
          </w:p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rPr>
                <w:b w:val="true"/>
                <w:bCs w:val="true"/>
              </w:rPr>
              <w:t xml:space="preserve">Consolidated monthly, quarterly, and annual forecasts</w:t>
            </w:r>
            <w:r>
              <w:t xml:space="preserve">and income statements for the Private Wealth Group, providing critical financial insights and ensuring alignment with business objectives, regularly contributing to key management reports like the MD&amp;A (Management Discussion &amp; Analysis)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Sep 2007 — Jul 2010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Hedge Fund Analyst at HSBC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London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rPr>
                <w:b w:val="true"/>
                <w:bCs w:val="true"/>
              </w:rPr>
              <w:t xml:space="preserve">Performed comprehensive investment due diligence</w:t>
            </w:r>
            <w:r>
              <w:t xml:space="preserve">on hedge fund candidates for inclusion in the fund of funds portfolio, ensuring alignment with strategic investment goals.</w:t>
            </w:r>
          </w:p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rPr>
                <w:b w:val="true"/>
                <w:bCs w:val="true"/>
              </w:rPr>
              <w:t xml:space="preserve">Conducted regular interviews with fund managers</w:t>
            </w:r>
            <w:r>
              <w:t xml:space="preserve">to gain deep insights into performance attribution, risk assessment, and investment outlook, facilitating informed decision-making.</w:t>
            </w:r>
          </w:p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rPr>
                <w:b w:val="true"/>
                <w:bCs w:val="true"/>
              </w:rPr>
              <w:t xml:space="preserve">Delivered well-supported buy/sell recommendations</w:t>
            </w:r>
            <w:r>
              <w:t xml:space="preserve">to the research committee, accompanied by detailed research reports that underpinned strategic portfolio decisions.</w:t>
            </w:r>
          </w:p>
        </w:tc>
      </w:tr>
      <w:tr>
        <w:tc>
          <w:tcPr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Jul 2004 — Jun 2006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CFA (Chartered Financial Analyst)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New York City</w:t>
            </w:r>
          </w:p>
        </w:tc>
      </w:tr>
      <w:tr>
        <w:tc>
          <w:tcPr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Aug 2006 — Aug 2007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Financial Risk Manager (FRM) Certification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New York City</w:t>
            </w:r>
          </w:p>
        </w:tc>
      </w:tr>
    </w:tbl>
    <w:sectPr>
      <w:pgSz w:w="12240" w:h="15840" w:orient="portrait"/>
      <w:pgMar w:top="453.54330708661416" w:right="566.9291338582677" w:bottom="453.54330708661416" w:left="566.9291338582677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80" w:line="240"/>
    </w:pPr>
    <w:rPr>
      <w:color w:val="#000"/>
      <w:sz w:val="20"/>
      <w:szCs w:val="20"/>
      <w:rFonts w:ascii="Times New Roman" w:cs="Times New Roman" w:eastAsia="Times New Roman" w:hAnsi="Times New Roman"/>
    </w:rPr>
  </w:style>
  <w:style w:type="paragraph" w:styleId="Heading1">
    <w:name w:val="Heading 1"/>
    <w:rPr>
      <w:b w:val="true"/>
      <w:bCs w:val="true"/>
      <w:sz w:val="38"/>
      <w:szCs w:val="38"/>
    </w:rPr>
    <w:basedOn w:val="Normal"/>
  </w:style>
  <w:style w:type="paragraph" w:styleId="Heading2">
    <w:name w:val="Heading 2"/>
    <w:rPr>
      <w:sz w:val="26"/>
      <w:szCs w:val="26"/>
    </w:rPr>
    <w:basedOn w:val="Normal"/>
  </w:style>
  <w:style w:type="paragraph" w:styleId="Heading3">
    <w:name w:val="Heading 3"/>
    <w:rPr>
      <w:sz w:val="22"/>
      <w:szCs w:val="22"/>
    </w:rPr>
    <w:basedOn w:val="Normal"/>
  </w:style>
  <w:style w:type="paragraph" w:styleId="Heading4">
    <w:name w:val="Heading 4"/>
    <w:rPr>
      <w:sz w:val="28"/>
      <w:szCs w:val="28"/>
    </w:rPr>
    <w:basedOn w:val="Normal"/>
  </w:style>
  <w:style w:type="paragraph" w:styleId="Heading5">
    <w:name w:val="Heading 3"/>
    <w:rPr>
      <w:sz w:val="22"/>
      <w:szCs w:val="22"/>
    </w:rPr>
    <w:basedOn w:val="Normal"/>
  </w:style>
  <w:style w:type="paragraph" w:styleId="PageNumber">
    <w:name w:val="Page Number"/>
    <w:rPr>
      <w:sz w:val="20"/>
      <w:szCs w:val="20"/>
    </w:rPr>
    <w:basedOn w:val="Normal"/>
  </w:style>
  <w:style w:type="paragraph" w:styleId="Empty">
    <w:name w:val="Empty"/>
    <w:rPr>
      <w:sz w:val="1"/>
      <w:szCs w:val="1"/>
    </w:rPr>
    <w:basedOn w:val="Normal"/>
  </w:style>
  <w:style w:type="character" w:styleId="Hyperlink">
    <w:name w:val="Hyperlink"/>
    <w:rPr>
      <w:u w:val="single"/>
    </w:rPr>
    <w:uiPriority w:val="99"/>
    <w:unhideWhenUsed/>
    <w:basedOn w:val="Normal"/>
  </w:style>
  <w:style w:type="character" w:styleId="SocialProfileLink">
    <w:name w:val="Social Profile Link"/>
    <w:rPr>
      <w:u w:val="single"/>
      <w:color w:val="#000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2024-12-22T22:20:51Z</dcterms:created>
  <dcterms:modified xsi:type="dcterms:W3CDTF">2024-12-22T22:20:51Z</dcterms:modified>
</cp:coreProperties>
</file>